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Коммунальная гигиена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Коммунальная гигиена | Записей: 2</w:t>
      </w:r>
    </w:p>
    <w:p>
      <w:r>
        <w:br w:type="page"/>
      </w:r>
    </w:p>
    <w:p>
      <w:pPr>
        <w:pStyle w:val="Heading1"/>
      </w:pPr>
      <w:r>
        <w:t>Коммунальная гигиена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гигиеническую оценку качества воды централизованных систем питьевого водоснабжения. Определить гигиенические требования к воде централизованного питьевого водоснабжения.</w:t>
      </w:r>
    </w:p>
    <w:p>
      <w:pPr>
        <w:pStyle w:val="Heading2"/>
      </w:pPr>
      <w:r>
        <w:t>1. Санитарные требования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системах централизованного питьевого водоснабжения показатель общего микробного числа (ОМЧ) (37 ± 1,0) °C по нормативу не более _____ КОЕ/см3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t>III. Нормативы качества и безопасности воды</w:t>
        <w:br/>
        <w:br/>
        <w:t>п. 12 Таблица 3.5 Санитарно-микробиологические и паразитологические показатели безопасности воды систем централизованного 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Безвредность питьевой воды по органолептическим показателям определяется ее соответствием нормативам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pH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жесткости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мутности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привкусу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цветности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запаху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мутности; привкусу; цветности; запаху</w:t>
      </w:r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Безопасность питьевой воды  систем централизованного питьевого водоснабжения по санитарно-микробиологическим и паразитологическим показателям  определяется ее соответствием нормативам по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общему микробному числу (ОМЧ) (37±1.0)°С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спорам сульфитредуцирующих клостридий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_Legionella pneumophila_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обобщенным колиформным бактериям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колифагам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взвешенным веществам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общему микробному числу (ОМЧ) (37±1.0)°С; спорам сульфитредуцирующих клостридий; _Legionella pneumophila_; обобщенным колиформным бактериям; колифагам</w:t>
      </w:r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нормируемым обобщенным показателям, подтверждающим безвредность питьевой воды по химическому составу,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окисляемость перманганатная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поверхностно-активные вещества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бихроматная окисляемость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общая жесткость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общая минерализация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водородный показатель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окисляемость перманганатная; поверхностно-активные вещества; общая жесткость; общая минерализация; водородный показатель</w:t>
      </w:r>
    </w:p>
    <w:p>
      <w:pPr>
        <w:ind w:left="504"/>
      </w:pPr>
      <w:r>
        <w:rPr>
          <w:b w:val="0"/>
          <w:i/>
        </w:rPr>
        <w:t>Вода питьевая централизованного водоснабжения: перманганатная окисляемость норматив, не более 5.0 мг/дм куб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водоснабжения: ПАВ анионоактивные (суммарно) норматив, не более 5.0 мг/дм куб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водоснабжения: жесткость общая норматив, не более 7.0 мг-экв/дм куб</w:t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водоснабжения: общая минерализация (сухой остаток) норматив, не более 1000 мг/дм куб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и нецентрализованного водоснабжения: водоисточников хозяйственно-бытового и рекреационного водопользования: водородный показатель (pH) норматив в пределах 6,0 - 9,0 ед.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видам определяемых показателей и количество исследуемых проб питьевой воды перед ее поступлением в распределительную сеть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органолептические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обобщенные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неорганические и органические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микробиологические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радиологические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паразитологические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органолептические; обобщенные; неорганические и органические; микробиологические; радиологические</w:t>
      </w:r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 микробиологическим показателям количество исследуемых проб питьевой воды перед ее поступлением в распределительную сеть (в резервуарах чистой воды), учитывая численность обслуживаемого населения, должно быть не менее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 – для населения до 20 тыс. чел.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365 – для населения свыше 100 тыс. чел.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 – для населения до 20 тыс. чел.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250 – для населения свыше 20 и до 100 тыс. чел.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150 – для населения свыше 20 и до 100 тыс. чел.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350 – для населения свыше 100 тыс. чел.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50 – для населения до 20 тыс. чел.; 365 – для населения свыше 100 тыс. чел.; 150 – для населения свыше 20 и до 100 тыс. чел.</w:t>
      </w:r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 обобщенным показателям количество исследуемых проб питьевой воды перед ее поступлением в распределительную сеть (в резервуарах чистой воды), учитывая численность обслуживаемого населения, должно быть не менее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 – для населения свыше 100 тыс. чел.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– для населения до 20 тыс. чел.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 – для населения до 20 тыс. чел.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 – для населения свыше 100 тыс. чел.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6 – для населения свыше 20 и до 100 тыс. чел.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8 – для населения свыше 20 и до 100 тыс. чел.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12 – для населения свыше 100 тыс. чел.; 4 – для населения до 20 тыс. чел.; 6 – для населения свыше 20 и до 100 тыс. чел.</w:t>
      </w:r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 – от 20 до 50 тыс. чел.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100 – от 50 до 100 тыс. чел.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– до 10 тыс. чел.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 – от 10 до 20 тыс. чел.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5 – до 10 тыс. чел.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50 – от 20 до 50 тыс. чел.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30 – от 20 до 50 тыс. чел.; 100 – от 50 до 100 тыс. чел.; 2 – до 10 тыс. чел.; 10 – от 10 до 20 тыс. чел.</w:t>
      </w:r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органов охраны природных ресурсов, включая недра, водные объекты, в сфере гидрометеорологии предприятий и организаций о качестве поверхностных, подземных вод по результатам осуществляемого ими мониторинга качества вод и производственного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организаций, осуществляющих эксплуатацию систем водоснабжения, по результатам расширенных лабораторных исследований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управлений жилищно-коммунальными хозяйствами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центра госсанэпиднадзора по результатам исследований качества вод в местах водопользования населения и в системе водоснабжения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государственной статистической отчетности предприятий и организаций о составе и объемах сточных вод, поступающих в источники водоснабжения выше места водозабора в пределах их водосборной территории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органов охраны природных ресурсов, включая недра, водные объекты, в сфере гидрометеорологии предприятий и организаций о качестве поверхностных, подземных вод по результатам осуществляемого ими мониторинга качества вод и производственного контроля; 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источника); государственной статистической отчетности предприятий и организаций о составе и объемах сточных вод, поступающих в источники водоснабжения выше места водозабора в пределах их водосборной территории</w:t>
      </w:r>
    </w:p>
    <w:p>
      <w:pPr>
        <w:ind w:left="504"/>
      </w:pPr>
      <w:r>
        <w:rPr>
          <w:b w:val="0"/>
          <w:i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материалам:</w:t>
        <w:br/>
        <w:br/>
        <w:t>органов охраны природных ресурсов, включая недра, водные объекты, в сфере гидрометеорологии, предприятий и организаций о качестве поверхностных, подземных вод по результатам осуществляемого ими мониторинга качества вод и производственного контроля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2.3.10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материалам:</w:t>
        <w:br/>
        <w:br/>
        <w:t>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2.3.10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материалам:</w:t>
        <w:br/>
        <w:br/>
        <w:t>государственной статистической отчетности предприятий и организаций, а также иных официальных данных о составе и объемах сточных вод, поступающих в источники водоснабжения выше места водозабора в пределах их водосборной территории(для поверхностных источников водоснабжения)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2.3.10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контролируемых в питьевой воде химических соединений указывается лимитирующий признак вредности вещества, по которому установлен норматив. К таким признакам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органолептический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санитарно-токсикологический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санитарно-технологический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эколого-гигиенический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биологический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экологический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органолептический; санитарно-токсикологический</w:t>
      </w:r>
    </w:p>
    <w:p>
      <w:pPr>
        <w:ind w:left="504"/>
      </w:pPr>
      <w:r>
        <w:rPr>
          <w:b w:val="0"/>
          <w:i/>
        </w:rPr>
        <w:t>Указан лимитирующий признак вредности веществ, по которому установлен норматив:</w:t>
        <w:br/>
        <w:br/>
        <w:t>* орг. - органолептический с расшифровкой характера изменения органолептических свойств воды (зап. - изменяет запах воды; окр. - придает воде окраску; пен. - вызывает образование пены; пл. - образует пленку на поверхности воды; привк. - придает воде привкус; оп. - вызывает опалесценцию).</w:t>
        <w:br/>
        <w:br/>
        <w:t>Постановление Главного государственного санитарного врача РФ от 28.01.2021 N 2"Об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Указан лимитирующий признак вредности веществ, по которому установлен норматив:</w:t>
        <w:br/>
        <w:br/>
        <w:t>* с.-т. - санитарно-токсикологический;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Радиационная безопасность питьевой воды определяется ее соответствием нормам по следующим показателям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удельная суммарная альфа-активность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удельная суммарная бета-активность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сумма радионуклидов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индий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дейтерий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радон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удельная суммарная альфа-активность; удельная суммарная бета-активность; сумма радионуклидов; радон</w:t>
      </w:r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 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Рабочая программа производственного контроля качества питьевой воды должна содержать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периодичность мероприятий по дезинфекции помещений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периодичность и количество мероприятий по дератизации помещений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указание частоты отбора проб воды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количество мероприятий по дезинфекции помещений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перечень показателей, по которым осуществляется контроль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указание мест отбора проб воды, в том числе на границе эксплуатационной ответственности организаций, осуществляющих холодное водоснабжение, горячее водоснабжение, и абонентов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указание частоты отбора проб воды; перечень показателей, по которым осуществляется контроль; указание мест отбора проб воды, в том числе на границе эксплуатационной ответственности организаций, осуществляющих холодное водоснабжение, горячее водоснабжение, и абонентов</w:t>
      </w:r>
    </w:p>
    <w:p>
      <w:pPr>
        <w:ind w:left="504"/>
      </w:pPr>
      <w:r>
        <w:rPr>
          <w:b w:val="0"/>
          <w:i/>
        </w:rPr>
        <w:t>Программа производственного контроля качества питьевой воды, горячей воды включает в себя:</w:t>
        <w:br/>
        <w:t>указание частоты отбора проб воды</w:t>
        <w:br/>
        <w:br/>
        <w:t>Федеральный закон от 07.12.2011 N 416-ФЗ "О водоснабжении и водоотведении"</w:t>
        <w:br/>
        <w:t>Статья 25. Производственный контроль качества питьевой воды, качества горячей воды, п.6</w:t>
        <w:br/>
        <w:br/>
      </w:r>
      <w:hyperlink r:id="rId21">
        <w:r>
          <w:rPr>
            <w:color w:val="0F766E"/>
            <w:u w:val="single"/>
          </w:rPr>
          <w:t>Федеральный закон от 07.12.2011 N 416-ФЗ (ред. от 13.06.2023) "О водоснабжении и водоотведении"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производственного контроля качества питьевой воды, горячей воды включает в себя: перечень показателей, по которым осуществляется контроль</w:t>
        <w:br/>
        <w:br/>
        <w:t>Федеральный закон от 07.12.2011 N 416-ФЗ "О водоснабжении и водоотведении"</w:t>
        <w:br/>
        <w:t>Статья 25. Производственный контроль качества питьевой воды, качества горячей воды, п.6</w:t>
        <w:br/>
        <w:br/>
      </w:r>
      <w:hyperlink r:id="rId21">
        <w:r>
          <w:rPr>
            <w:color w:val="0F766E"/>
            <w:u w:val="single"/>
          </w:rPr>
          <w:t>Федеральный закон от 07.12.2011 N 416-ФЗ (ред. от 13.06.2023) "О водоснабжении и водоотведении"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производственного контроля качества питьевой воды, горячей воды включает в себя:</w:t>
        <w:br/>
        <w:t>указание мест отбора проб воды, в том числе на границе эксплуатационной ответственности организаций, осуществляющих холодное водоснабжение, горячее водоснабжение, и абонентов</w:t>
        <w:br/>
        <w:br/>
        <w:t>Федеральный закон от 07.12.2011 N 416-ФЗ "О водоснабжении и водоотведении"</w:t>
        <w:br/>
        <w:t>Статья 25. Производственный контроль качества питьевой воды, качества горячей воды, п.6</w:t>
        <w:br/>
        <w:br/>
      </w:r>
      <w:hyperlink r:id="rId21">
        <w:r>
          <w:rPr>
            <w:color w:val="0F766E"/>
            <w:u w:val="single"/>
          </w:rPr>
          <w:t>Федеральный закон от 07.12.2011 N 416-ФЗ (ред. от 13.06.2023) "О водоснабжении и водоотведении"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Коммунальная гигиена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Рассмотрите систему обеспечения безопасного водопотребления путем нормирования содержания химических веществ в воде. Определите основные особенности системы этапного нормирования.</w:t>
      </w:r>
    </w:p>
    <w:p>
      <w:pPr>
        <w:pStyle w:val="Heading2"/>
      </w:pPr>
      <w:r>
        <w:t>1. Санитарные требования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Значимость ПДК и ОДУ в системе водно-санитарного законодательства определяется тем,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сопоставление реальных уровней содержания веществ в воде с их нормативами дает возможность судить о мере вреда промышленных и другие загрязнения, а также оценить эффективность водоохранных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сертификация материалов, реагентов, оборудования, технологий, используемых в системах водоснабжения и очистке сточных вод, проводится с использованием гигиенических нормативов мигрирующих в воду веществ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нормативы служат юридической основой для санитарного контроля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нормативов позволяет рассчитать нормы ПДС и использовать их при предупредительном и текущем санитарном надзоре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гигиенические нормативы необходимы при выборе приоритетных показателей загрязнения воды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соблюдение этих нормативов создает благоприятные условия водопользования, обеспечивая безопасность воды для здоровья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сопоставление реальных уровней содержания веществ в воде с их нормативами дает возможность судить о мере вреда промышленных и другие загрязнения, а также оценить эффективность водоохранных мероприятий; сертификация материалов, реагентов, оборудования, технологий, используемых в системах водоснабжения и очистке сточных вод, проводится с использованием гигиенических нормативов мигрирующих в воду веществ; наличие нормативов позволяет рассчитать нормы ПДС и использовать их при предупредительном и текущем санитарном надзоре; гигиенические нормативы необходимы при выборе приоритетных показателей загрязнения воды; соблюдение этих нормативов создает благоприятные условия водопользования, обеспечивая безопасность воды для здоровья населения</w:t>
      </w:r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сопоставление реальных уровней содержания веществ в воде с их ПДК или ОДУ дает возможность судить, в какой мере вредны и при каких условиях могут быть безвредными промышленные и другие загрязнения, а также оценить эффективность водоохранных мероприятий.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сертификация материалов, реагентов, оборудования, технологий, используемых в системах водоснабжения и очистке сточных вод проводится с использованием гигиенических нормативов мигрирующих в воду веществ.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наличие нормативов позволяет рассчитать нормы ПДС и использовать их при предупредительном и текущем санитарном надзоре.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ОДУв системе водно-санитарного законодательства определяется тем, что:</w:t>
        <w:br/>
        <w:br/>
        <w:t>* гигиенические нормативы необходимы при выборе приоритетных показателей загрязнения воды.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соблюдение этих нормативов создает благоприятные условия водопользования, обеспечивая безопасность воды для здоровья населения.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Схема обоснования ПДК веществ в воде водных объектов включает в себя следующие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хронический опыт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эпидемиологические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полная токсикологическая оценка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принятие предварительного решения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ускоренная оценка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экспресс-эксперимент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хронический опыт; эпидемиологические исследования; принятие предварительного решения; ускоренная оценка; экспресс-эксперимент</w:t>
      </w:r>
    </w:p>
    <w:p>
      <w:pPr>
        <w:ind w:left="504"/>
      </w:pPr>
      <w:r>
        <w:rPr>
          <w:b w:val="0"/>
          <w:i/>
        </w:rPr>
        <w:t>Четвертая стадия – «хронический эксперимент».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3.2.4.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Шестая стадия - «эпидемиологические исследования».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3.2.6.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Первая стадия - «принятие предварительного решения».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Вторая стадия - «ускоренная оценка».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3.2.2.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Третья стадия - «экспресс-эксперимент».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водопользования». п. 3.2.3.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нормировании химических веществ в воде водоемов в схему исследования включают следующие показатели вредности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органолептический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фитоаккумуляционный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санитарно-токсикологический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миграционно-воздушный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общесанитарный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миграционно-водный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органолептический; санитарно-токсикологический; общесанитарный</w:t>
      </w:r>
    </w:p>
    <w:p>
      <w:pPr>
        <w:ind w:left="504"/>
      </w:pPr>
      <w:r>
        <w:rPr>
          <w:b w:val="0"/>
          <w:i/>
        </w:rPr>
        <w:t>Вторая стадия - «ускоренная оценка» - начинается с установления пороговых концентраций по органолептическому (ПКсан.) признаку вредности независимо от степени опасности данного вещества или структурно близких соединений.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3.2.2.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Величина МНК сопоставляется с пороговыми концентрациями по органолептическому и обще санитарным признакам вредности, и наименьшая из них принимается в качестве ПДК (ОДУ) с указанием соответствующего (органолептического, общесанитарного, санитарно-токсикологического) признака вредности.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12.2.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Целью экспериментального гигиенического исследования влияния вещества на процессы естественного самоочищения водных объектов является обобщенная оценка интенсивности и направленности взаимосвязанных фаз биохимического окисления естественных органических веществ (БПК, аммонификации, нитрификации, развития и отмирания микрофлоры), обоснование пороговых концентраций вещества по общесанитарному признаку вредности (ПКсан.).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7.2.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Показателями воды, относящимися к органолептическим свойствам,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мутность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запах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окраска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привкус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окисляемость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общая жесткость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мутность; запах; окраска; привкус</w:t>
      </w:r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5)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1)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4)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2)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обобщенным показателям качества различных вод, кроме технической воды,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взвешенные вещества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водородный показатель (рН)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жесткость общая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растворенный кислород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общая минерализация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плавающие примеси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водородный показатель (рН); жесткость общая; общая минерализация</w:t>
      </w:r>
    </w:p>
    <w:p>
      <w:pPr>
        <w:ind w:left="504"/>
      </w:pPr>
      <w:r>
        <w:rPr>
          <w:b w:val="0"/>
          <w:i/>
        </w:rPr>
        <w:t>Таблица 3.3 п. 6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3.3 п. 2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3.3 п. 1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24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Показатель БПК5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даёт оценку загрязнения легкоокисляющимися органическими загрязняющими веществами конкретного объёма воды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 химическим показателем содержания органических веществ в воде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определяется с помощью микроорганизмов в специальной среде (без света) и инкубационном периоде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отражает потребление кислорода в воде на 5 сутки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показывает общий объём органических веществ в стоках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выражается в миллиграммах кислорода (или другого окислителя в пересчёте на кислород), пошедшего на окисление органических веществ, содержащихся в 10 литрах воды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даёт оценку загрязнения легкоокисляющимися органическими загрязняющими веществами конкретного объёма воды; определяется с помощью микроорганизмов в специальной среде (без света) и инкубационном периоде; отражает потребление кислорода в воде на 5 сутки</w:t>
      </w:r>
    </w:p>
    <w:p>
      <w:pPr>
        <w:ind w:left="504"/>
      </w:pPr>
      <w:r>
        <w:rPr>
          <w:b w:val="0"/>
          <w:i/>
        </w:rPr>
        <w:t>Этот показатель является некоторой условной мерой загрязнения вод органическими соединениями, в особенности достаточно легко подвергающимися биохимической деградации.</w:t>
        <w:br/>
        <w:br/>
        <w:t>РД 52.24.420-2019 Биохимическое потребление кислорода в водах. Методика измерений титриметрическим и амперометрическим методами</w:t>
        <w:br/>
        <w:br/>
      </w:r>
      <w:hyperlink r:id="rId27">
        <w:r>
          <w:rPr>
            <w:color w:val="0F766E"/>
            <w:u w:val="single"/>
          </w:rPr>
          <w:t>https://files.stroyinf.ru/Data2/1/4293722/4293722432.pdf</w:t>
        </w:r>
      </w:hyperlink>
    </w:p>
    <w:p>
      <w:pPr>
        <w:ind w:left="504"/>
      </w:pPr>
      <w:r>
        <w:rPr>
          <w:b w:val="0"/>
          <w:i/>
        </w:rPr>
        <w:t>При неполном окислении органических веществ для сопоставимости величин БПК его определение должно проводиться в некоторых стандартных условиях. В качестве таковых приняты следующие: продолжительность инкубации 5 сут. температура (20 ± 1) °C, отсутствие доступа света и воздуха.</w:t>
        <w:br/>
        <w:br/>
        <w:t>РД 52.24.420-2019 Биохимическое потребление кислорода в водах. Методика измерений титриметрическим и амперометрическим методами</w:t>
        <w:br/>
        <w:br/>
      </w:r>
      <w:hyperlink r:id="rId27">
        <w:r>
          <w:rPr>
            <w:color w:val="0F766E"/>
            <w:u w:val="single"/>
          </w:rPr>
          <w:t>https://files.stroyinf.ru/Data2/1/4293722/4293722432.pdf</w:t>
        </w:r>
      </w:hyperlink>
    </w:p>
    <w:p>
      <w:pPr>
        <w:ind w:left="504"/>
      </w:pPr>
      <w:r>
        <w:rPr>
          <w:b w:val="0"/>
          <w:i/>
        </w:rPr>
        <w:t>При неполном окислении органических веществ для сопоставимости значений ВПК его определение должно проводиться в стандартных условиях. В качестве таковых приняты следующие: продолжительность инкубации 5 сут, температура (20±1) °С, отсутствие доступа света и воздуха. Потребление кислорода, определённое при этих условиях, называется пятисуточным биохимическим потреблением кислорода (далее - ВПК5).</w:t>
        <w:br/>
        <w:br/>
        <w:t>РД 52.24.420-2019 Биохимическое потребление кислорода в водах. Методика измерений титриметрическим и амперометрическим методами</w:t>
        <w:br/>
        <w:br/>
      </w:r>
      <w:hyperlink r:id="rId27">
        <w:r>
          <w:rPr>
            <w:color w:val="0F766E"/>
            <w:u w:val="single"/>
          </w:rPr>
          <w:t>https://files.stroyinf.ru/Data2/1/4293722/4293722432.pdf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установлении параметров токсичности веществ в острых опытах на животных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определяют максимальную недействующую дозу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проводят физиологические и биохимические пробы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рассчитывают индекс кумуляции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изучаемое вещество вводят животным ингаляционно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рассчитывают среднесмертельную дозу (DL50)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изучаемое вещество вводят животным внутрижелудочно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проводят физиологические и биохимические пробы; рассчитывают индекс кумуляции; рассчитывают среднесмертельную дозу (DL50); изучаемое вещество вводят животным внутрижелудочно</w:t>
      </w:r>
    </w:p>
    <w:p>
      <w:pPr>
        <w:ind w:left="504"/>
      </w:pPr>
      <w:r>
        <w:rPr>
          <w:b w:val="0"/>
          <w:i/>
        </w:rPr>
        <w:t>Взаимодействие химического агента и организма оценивают по показателям токсикодинамики (функциональное состояние организма) и токсикокинетики (распределение, накопление и выведение вещества). Результаты эксперимента дают представление о патогенетических механизмах интоксикации.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Дополнительно по данным острого опыта рассчитываются параметры, дающие первое представление о способности веществ к кумуляции: среднее время гибели (TL50) и индекс кумуляции.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8.10.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Установление смертельных эффектов (в острых опытах на животных) позволяет получить необходимую информацию для решения ряда задач:</w:t>
        <w:br/>
        <w:br/>
        <w:t>* установление зависимости «доза-ответ» и расчет средней смертельной дозы DL50.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8.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Вещество изучается при следующих путях поступления в организм: при введении в желудок, нанесении на кожу.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8.1.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отношении токсикологических экспериментов над животными при обосновании гигиенических нормативов химических веществ в воде верны следующие утверждения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ходе подострых токсикологических экспериментов определяют степень выраженности кумулятивных свойств веществ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взаимодействие химического агента и организма оценивают по показателям токсикодинамики и токсикокинетики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эксперимент является необходимым при оценке токсического действия веществ, отнесенных по результатам первых трех стадий исследований к 3-4 классам опасности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подострый эксперимент позволяет определить наиболее поражаемые функции, органы и системы организма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 ходе хронического токсикологического эксперимента определяют пороговую и максимальную недействующую дозы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 подостром эксперименте при выборе доз, видов лабораторных животных и других параметров опыта исходят только из данных литературы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ходе подострых токсикологических экспериментов определяют степень выраженности кумулятивных свойств веществ; взаимодействие химического агента и организма оценивают по показателям токсикодинамики и токсикокинетики; подострый эксперимент позволяет определить наиболее поражаемые функции, органы и системы организма; в ходе хронического токсикологического эксперимента определяют пороговую и максимальную недействующую дозы</w:t>
      </w:r>
    </w:p>
    <w:p>
      <w:pPr>
        <w:ind w:left="504"/>
      </w:pPr>
      <w:r>
        <w:rPr>
          <w:b w:val="0"/>
          <w:i/>
        </w:rPr>
        <w:t>Подострый эксперимент позволяет:</w:t>
        <w:br/>
        <w:br/>
        <w:t>* выявить способность вещества к кумуляции;</w:t>
        <w:br/>
        <w:br/>
        <w:t>* рассчитать зону кумулятивного действия;</w:t>
        <w:br/>
        <w:br/>
        <w:t>* установить класс опасности по кумуляции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10.1.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Взаимодействие химического агента и организма оценивают по показателям токсикодинамики (функциональное состояние организма) и токсикокинетики (распределение, накопление и выведение вещества). Результаты эксперимента дают представление о патогенетических механизмах интоксикации.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Подострый эксперимент позволяет:</w:t>
        <w:br/>
        <w:br/>
        <w:t>* определить характер (механизм) токсического действия; наиболее поражаемые функции, органы, системы организма.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10.1.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Цель хронического опыта - установить пороговую и максимальную недействующую дозы веществ при длительном воздействии на организм.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отдаленным последствиям токсического действия испытуемого вещества относятся эффекты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эмбриотоксический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аллергенный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канцерогенный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атеросклеротический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тератогенный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общетоксический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эмбриотоксический; аллергенный; канцерогенный; атеросклеротический; тератогенный</w:t>
      </w:r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Очень информативной и практически важной является оценка аллергенных свойств вещества.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Ориентировочный допустимый уровень (ОДУ) химического вещества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является временным гигиеническим нормативом вещества в воде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 временным гигиеническим нормативом, разработанным для химических веществ в почве разного характера землепользования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разрабатывается только расчетным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разрабатывается на основе расчетных и экспресс-экспериментальных методов прогноза токсичности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является временным гигиеническим нормативом содержания вредных веществ в атмосферном воздухе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разрабатывается после проведения всего комплекса исследований по классической методической схеме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является временным гигиеническим нормативом вещества в воде; разрабатывается на основе расчетных и экспресс-экспериментальных методов прогноза токсичности</w:t>
      </w:r>
    </w:p>
    <w:p>
      <w:pPr>
        <w:ind w:left="504"/>
      </w:pPr>
      <w:r>
        <w:rPr>
          <w:b w:val="0"/>
          <w:i/>
        </w:rPr>
        <w:t>ОДУ - ориентировочный допустимый уровень химического вещества в воде - временный гигиенический норматив, разрабатываемый на основе расчетных и экспресс - экспериментальных методов прогноза токсичности.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ОДУ - ориентировочный допустимый уровень химического вещества в воде - временный гигиенический норматив, разрабатываемый на основе расчетных и экспресс - экспериментальных методов прогноза токсичности.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1.</w:t>
        <w:br/>
        <w:br/>
      </w:r>
      <w:hyperlink r:id="rId23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Основными критериями выбора приоритетных показателей для водного объекта при проведении лабораторных исследований воды водных объектов в рамках производственного контроля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специфичность вещества для сточных вод, поступающих в водный объект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класс опасности и лимитирующий признак вредности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частота обнаружения вещества в воде водного объекта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степень превышения ПДК вещества в воде водного объекта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способность к накоплению в донных отложениях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тенденция к росту концентраций вещества в воде при долговременном наблюдении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специфичность вещества для сточных вод, поступающих в водный объект; класс опасности и лимитирующий признак вредности; частота обнаружения вещества в воде водного объекта; степень превышения ПДК вещества в воде водного объекта; тенденция к росту концентраций вещества в воде при долговременном наблюдении</w:t>
      </w:r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специфичность вещества для сточных вод;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31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класс опасности и лимитирующий признак вредности, характеризующие кумуляцию, токсичность и способность вещества вызывать отдаленные эффекты;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31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частота обнаружения вещества в воде водного объекта;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<w:br/>
        <w:br/>
      </w:r>
      <w:hyperlink r:id="rId31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степень превышения ПДК вещества в воде водного объекта;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31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тенденция к росту концентраций вещества в воде при долговременном наблюдении;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31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Методика оценки риска неблагоприятного воздействия загрязнения водного объекта на здоровье населения позволяет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оценить сравнительную гигиеническую эффективность возможных природоохранных и или санитарных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установить долю водного фактора в суммарном неблагоприятном воздействии среды обитания в целом на здоровье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оптимизировать управленческие решения в области санитарно-эпидемиологического надзора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выявить приоритетные вещества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оценить экологический риск как вероятность развития у растений или животных (кроме человека), обусловленных воздействием факторов окружающей среды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оценить сравнительную экономическую эффективность возможных природоохранных и или санитарных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оценить сравнительную гигиеническую эффективность возможных природоохранных и или санитарных мероприятий; установить долю водного фактора в суммарном неблагоприятном воздействии среды обитания в целом на здоровье населения; оптимизировать управленческие решения в области санитарно-эпидемиологического надзора; выявить приоритетные вещества; оценить сравнительную экономическую эффективность возможных природоохранных и или санитарных мероприятий</w:t>
      </w:r>
    </w:p>
    <w:p>
      <w:pPr>
        <w:ind w:left="504"/>
      </w:pPr>
      <w:r>
        <w:rPr>
          <w:b w:val="0"/>
          <w:i/>
        </w:rPr>
        <w:t>В таких условиях оценку степени неблагоприятного влияния загрязнения водного объекта на здоровье и условия жизни целесообразно производить с использованием методики оценки риска неблагоприятного воздействия. Она позволяет в конкретной санитарной ситуации выявить вещества, в наибольшей степени оказывающие неблагоприятное влияние на здоровье (так называемые приоритетные вещества), оценить сравнительную гигиеническую и экономическую эффективность возможных природоохранных или санитарных мероприятий.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Методика оценки риска неблагоприятного воздействия используется и для установления доли водного фактора в суммарном неблагоприятном воздействии среды обитания в целом на здоровье населения (комплексное действие).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Таким образом, методика оценки риска неблагоприятного воздействия способствует объективизации и оптимизации управленческих решений в области санитарно-эпидемиологического надзора.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таких условиях оценку степени неблагоприятного влияния загрязнения водного объекта на здоровье и условия жизни целесообразно производить с использованием методики оценки риска неблагоприятного воздействия. Она позволяет в конкретной санитарной ситуации выявить вещества, в наибольшей степени оказывающие неблагоприятное влияние на здоровье (так называемые приоритетные вещества), оценить сравнительную гигиеническую и экономическую эффективность возможных природоохранных или санитарных мероприятий.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таких условиях оценку степени неблагоприятного влияния загрязнения водного объекта на здоровье и условия жизни целесообразно производить с использованием методики оценки риска неблагоприятного воздействия. Она позволяет в конкретной санитарной ситуации выявить вещества, в наибольшей степени оказывающие неблагоприятное влияние на здоровье (так называемые приоритетные вещества), оценить сравнительную гигиеническую и экономическую эффективность возможных природоохранных или санитарных мероприятий.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ost1.2.3685_26/" TargetMode="External"/><Relationship Id="rId10" Type="http://schemas.openxmlformats.org/officeDocument/2006/relationships/hyperlink" Target="https://library.mededtech.ru/rest/documents/post1.2.3685_26/#tabl3-5" TargetMode="External"/><Relationship Id="rId11" Type="http://schemas.openxmlformats.org/officeDocument/2006/relationships/hyperlink" Target="https://library.mededtech.ru/rest/documents/post1.2.3685_26/#tabl3-1" TargetMode="External"/><Relationship Id="rId12" Type="http://schemas.openxmlformats.org/officeDocument/2006/relationships/hyperlink" Target="https://library.mededtech.ru/rest/documents/post1.2.3685_26/#tabl3-3" TargetMode="External"/><Relationship Id="rId13" Type="http://schemas.openxmlformats.org/officeDocument/2006/relationships/hyperlink" Target="https://library.mededtech.ru/rest/documents/MP2.1.4.0176/" TargetMode="External"/><Relationship Id="rId14" Type="http://schemas.openxmlformats.org/officeDocument/2006/relationships/hyperlink" Target="https://library.mededtech.ru/rest/documents/MP2.1.4.0176/#table2" TargetMode="External"/><Relationship Id="rId15" Type="http://schemas.openxmlformats.org/officeDocument/2006/relationships/hyperlink" Target="https://library.mededtech.ru/rest/documents/MP2.1.4.0176/#table3" TargetMode="External"/><Relationship Id="rId16" Type="http://schemas.openxmlformats.org/officeDocument/2006/relationships/hyperlink" Target="https://library.mededtech.ru/rest/documents/MP2.1.4.0176/#list_item_36b66n" TargetMode="External"/><Relationship Id="rId17" Type="http://schemas.openxmlformats.org/officeDocument/2006/relationships/hyperlink" Target="https://library.mededtech.ru/rest/documents/MP2.1.4.0176/#list_item_pr4fa4" TargetMode="External"/><Relationship Id="rId18" Type="http://schemas.openxmlformats.org/officeDocument/2006/relationships/hyperlink" Target="https://library.mededtech.ru/rest/documents/MP2.1.4.0176/#paragraph_mju34j" TargetMode="External"/><Relationship Id="rId19" Type="http://schemas.openxmlformats.org/officeDocument/2006/relationships/hyperlink" Target="https://library.mededtech.ru/rest/documents/post1.2.3685_26/#tabl3-13" TargetMode="External"/><Relationship Id="rId20" Type="http://schemas.openxmlformats.org/officeDocument/2006/relationships/hyperlink" Target="https://library.mededtech.ru/rest/documents/post1.2.3685_26/#tabl3-12" TargetMode="External"/><Relationship Id="rId21" Type="http://schemas.openxmlformats.org/officeDocument/2006/relationships/hyperlink" Target="https://library.mededtech.ru/rest/documents/fzN41613.06.2023/" TargetMode="External"/><Relationship Id="rId22" Type="http://schemas.openxmlformats.org/officeDocument/2006/relationships/hyperlink" Target="https://library.mededtech.ru/rest/documents/fzN41613.06.2023/#list_item_1l46pe" TargetMode="External"/><Relationship Id="rId23" Type="http://schemas.openxmlformats.org/officeDocument/2006/relationships/hyperlink" Target="https://files.stroyinf.ru/Data1/6/6861/" TargetMode="External"/><Relationship Id="rId24" Type="http://schemas.openxmlformats.org/officeDocument/2006/relationships/hyperlink" Target="https://library.mededtech.ru/rest/documents/sp1.2.3685-21/" TargetMode="External"/><Relationship Id="rId25" Type="http://schemas.openxmlformats.org/officeDocument/2006/relationships/hyperlink" Target="https://library.mededtech.ru/rest/documents/sp1.2.3685-21/#tab3_1" TargetMode="External"/><Relationship Id="rId26" Type="http://schemas.openxmlformats.org/officeDocument/2006/relationships/hyperlink" Target="https://library.mededtech.ru/rest/documents/sp1.2.3685-21/#tab3_3" TargetMode="External"/><Relationship Id="rId27" Type="http://schemas.openxmlformats.org/officeDocument/2006/relationships/hyperlink" Target="https://files.stroyinf.ru/Data2/1/4293722/4293722432.pdf" TargetMode="External"/><Relationship Id="rId28" Type="http://schemas.openxmlformats.org/officeDocument/2006/relationships/hyperlink" Target="https://library.mededtech.ru/rest/documents/ISBN9785970430217/?anchor=paragraph_be6ejn#paragraph_be6ejn" TargetMode="External"/><Relationship Id="rId29" Type="http://schemas.openxmlformats.org/officeDocument/2006/relationships/hyperlink" Target="https://library.mededtech.ru/rest/documents/ISBN9785970430217/?anchor=paragraph_7f1s16#paragraph_7f1s16" TargetMode="External"/><Relationship Id="rId30" Type="http://schemas.openxmlformats.org/officeDocument/2006/relationships/hyperlink" Target="https://library.mededtech.ru/rest/documents/ISBN9785970430217/?anchor=paragraph_tq51is#paragraph_tq51is" TargetMode="External"/><Relationship Id="rId31" Type="http://schemas.openxmlformats.org/officeDocument/2006/relationships/hyperlink" Target="https://library.mededtech.ru/rest/documents/ntd-862-20220220-192949/" TargetMode="External"/><Relationship Id="rId32" Type="http://schemas.openxmlformats.org/officeDocument/2006/relationships/hyperlink" Target="https://library.mededtech.ru/rest/documents/ntd-862-20220220-192949/#&#1055;&#1088;&#1072;&#1074;&#1080;&#1083;&#1072;_&#1074;&#1099;&#1073;&#1086;&#1088;&#1072;_&#1087;&#1088;&#1080;&#1086;&#1088;&#1080;&#1090;&#1077;&#1090;&#1085;&#1099;&#1093;_&#1087;&#1086;&#1082;&#1072;&#1079;&#1072;&#1090;&#1077;&#1083;&#1077;&#1081;_&#1074;&#1086;&#1076;&#1099;_&#1074;&#1086;&#1076;&#1085;&#1099;&#1093;_&#1086;&#1073;&#1098;&#1077;&#1082;&#1090;&#1086;&#1074;_&#1087;&#1088;&#1080;_&#1087;&#1088;&#1086;&#1074;&#1077;&#1076;&#1077;&#1085;&#1080;&#1080;_&#1083;&#1072;&#1073;&#1086;&#1088;&#1072;&#1090;&#1086;&#1088;&#1085;&#1099;&#1093;_&#1080;&#1089;&#1089;&#1083;&#1077;&#1076;&#1086;&#1074;&#1072;&#1085;&#1080;&#1081;_&#1074;&#1086;&#1076;&#1099;_&#1074;&#1086;&#1076;&#1085;&#1099;&#1093;_&#1086;&#1073;&#1098;&#1077;&#1082;&#1090;&#1086;&#1074;_&#1074;_&#1088;&#1072;&#1084;&#1082;&#1072;&#1093;_&#1087;&#1088;&#1086;&#1080;&#1079;&#1074;&#1086;&#1076;&#1089;&#1090;&#1074;&#1077;&#1085;&#1085;&#1086;&#1075;&#1086;_&#1082;&#1086;&#1085;&#1090;&#1088;&#1086;&#1083;&#1103;" TargetMode="External"/><Relationship Id="rId33" Type="http://schemas.openxmlformats.org/officeDocument/2006/relationships/hyperlink" Target="https://library.mededtech.ru/rest/documents/ISBN9785970430217/?anchor=paragraph_ms5qea#paragraph_ms5qea" TargetMode="External"/><Relationship Id="rId34" Type="http://schemas.openxmlformats.org/officeDocument/2006/relationships/hyperlink" Target="https://library.mededtech.ru/rest/documents/ISBN9785970430217/?anchor=paragraph_ut024k#paragraph_ut024k" TargetMode="External"/><Relationship Id="rId35" Type="http://schemas.openxmlformats.org/officeDocument/2006/relationships/hyperlink" Target="https://library.mededtech.ru/rest/documents/ISBN9785970430217/?anchor=paragraph_k6ii8p#paragraph_k6ii8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